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含目标、受众、核心信息、交付物与时间点；但"依据"说得笼统（如凭经验、领导说的）；对需求变更只有处理原则，举不出具体一次的处理。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能说清各方诉求和自己的推进动作（组织对齐会、逐项比较方案），结论有书面形式（纪要/群内文字确认）；但记录要素不全（缺争议点、责任人或截止时间），执行情况靠口头了解、无回溯验证。</w:t>
            </w:r>
          </w:p>
        </w:tc>
        <w:tc>
          <w:tcPr>
            <w:tcW w:type="dxa" w:w="2493"/>
          </w:tcPr>
          <w:p>
            <w:r>
              <w:t>能完整讲述"冲突点 → 方案比较与依据（产品事实/数据）→ 书面结论（含争议、结论、责任人、时间）→ 按记录回溯验收"全过程；能举出该机制在后续项目中避免同类问题的实例（如详情页版本唯一来源、发布前核对清单）；对追问的每个环节都能给出具体做法。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。</w:t>
            </w:r>
          </w:p>
        </w:tc>
      </w:tr>
    </w:tbl>
    <w:p>
      <w:pPr>
        <w:pStyle w:val="Heading2"/>
      </w:pPr>
      <w:r>
        <w:t>四、本场不考察</w:t>
      </w:r>
    </w:p>
    <w:p>
      <w:r>
        <w:t>1. 审美与文字/视觉判断力（JD 任职要求6）：沟通会确认本场不评，作品集与案例讨论轮考察。依据：转写 02:16–02:31。</w:t>
      </w:r>
    </w:p>
    <w:p>
      <w:r>
        <w:t>2. 创意与案例深度：由外部顾问参与的案例讨论环节考察，该环节只看创意、不看数据。依据：转写 02:35–02:40。</w:t>
      </w:r>
    </w:p>
    <w:p>
      <w:r>
        <w:t>3. 经验年限：不设硬性门槛（不写死三年），改为在本场三个主题中核验"从 Brief 到复盘的完整项目"经历。依据：转写 01:34–01:58；JD 任职要求2。</w:t>
      </w:r>
    </w:p>
    <w:p>
      <w:r>
        <w:t>4. 婚育、年龄等与工作无关的问题：一律禁止在面试中提出。依据：转写 01:59–02:15（用人经理提议已否决）；本表填写说明。</w:t>
      </w:r>
    </w:p>
    <w:p>
      <w:r>
        <w:t>5. 内容资产维护与带教内容专员（JD 主要职责6）：沟通会未确认为本场主题，本场不设题。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